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63E" w:rsidRDefault="0066363E" w:rsidP="0066363E">
      <w:pPr>
        <w:spacing w:after="0" w:line="360" w:lineRule="auto"/>
        <w:jc w:val="center"/>
        <w:rPr>
          <w:rFonts w:ascii="Arial" w:hAnsi="Arial" w:cs="Arial"/>
          <w:sz w:val="20"/>
          <w:szCs w:val="20"/>
        </w:rPr>
      </w:pPr>
      <w:r>
        <w:rPr>
          <w:rFonts w:ascii="Arial" w:hAnsi="Arial" w:cs="Arial"/>
          <w:noProof/>
          <w:sz w:val="20"/>
          <w:szCs w:val="20"/>
        </w:rPr>
        <w:drawing>
          <wp:inline distT="0" distB="0" distL="0" distR="0" wp14:anchorId="3AFDF443" wp14:editId="3B9074EC">
            <wp:extent cx="1962150" cy="789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WE_logo_rgb.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6626" cy="791294"/>
                    </a:xfrm>
                    <a:prstGeom prst="rect">
                      <a:avLst/>
                    </a:prstGeom>
                  </pic:spPr>
                </pic:pic>
              </a:graphicData>
            </a:graphic>
          </wp:inline>
        </w:drawing>
      </w:r>
    </w:p>
    <w:p w:rsidR="0066363E" w:rsidRDefault="0066363E" w:rsidP="0066363E">
      <w:pPr>
        <w:spacing w:after="0" w:line="360" w:lineRule="auto"/>
        <w:jc w:val="center"/>
        <w:rPr>
          <w:rFonts w:ascii="Arial" w:hAnsi="Arial" w:cs="Arial"/>
          <w:sz w:val="20"/>
          <w:szCs w:val="20"/>
        </w:rPr>
      </w:pPr>
    </w:p>
    <w:p w:rsidR="00AB732C" w:rsidRDefault="0085554C" w:rsidP="00461DC8">
      <w:pPr>
        <w:spacing w:after="0"/>
        <w:jc w:val="center"/>
        <w:rPr>
          <w:b/>
          <w:sz w:val="24"/>
          <w:szCs w:val="24"/>
        </w:rPr>
      </w:pPr>
      <w:r w:rsidRPr="00461DC8">
        <w:rPr>
          <w:b/>
          <w:sz w:val="24"/>
          <w:szCs w:val="24"/>
        </w:rPr>
        <w:t xml:space="preserve">CSWE </w:t>
      </w:r>
      <w:r w:rsidR="000F3684">
        <w:rPr>
          <w:b/>
          <w:sz w:val="24"/>
          <w:szCs w:val="24"/>
        </w:rPr>
        <w:t xml:space="preserve">Commission on </w:t>
      </w:r>
      <w:r w:rsidRPr="00461DC8">
        <w:rPr>
          <w:b/>
          <w:sz w:val="24"/>
          <w:szCs w:val="24"/>
        </w:rPr>
        <w:t xml:space="preserve">Research Priorities for </w:t>
      </w:r>
      <w:r w:rsidR="000F3684">
        <w:rPr>
          <w:b/>
          <w:sz w:val="24"/>
          <w:szCs w:val="24"/>
        </w:rPr>
        <w:t>Improving Social Work Education</w:t>
      </w:r>
      <w:r w:rsidRPr="00461DC8">
        <w:rPr>
          <w:b/>
          <w:sz w:val="24"/>
          <w:szCs w:val="24"/>
        </w:rPr>
        <w:t xml:space="preserve"> </w:t>
      </w:r>
    </w:p>
    <w:p w:rsidR="00CD6C6F" w:rsidRDefault="00852F07" w:rsidP="00461DC8">
      <w:pPr>
        <w:spacing w:after="0"/>
        <w:jc w:val="center"/>
        <w:rPr>
          <w:b/>
          <w:sz w:val="24"/>
          <w:szCs w:val="24"/>
        </w:rPr>
      </w:pPr>
      <w:r>
        <w:rPr>
          <w:b/>
          <w:sz w:val="24"/>
          <w:szCs w:val="24"/>
        </w:rPr>
        <w:t xml:space="preserve">November </w:t>
      </w:r>
      <w:r w:rsidR="00AB732C">
        <w:rPr>
          <w:b/>
          <w:sz w:val="24"/>
          <w:szCs w:val="24"/>
        </w:rPr>
        <w:t>2016</w:t>
      </w:r>
      <w:r w:rsidR="00A83D1E">
        <w:rPr>
          <w:b/>
          <w:sz w:val="24"/>
          <w:szCs w:val="24"/>
        </w:rPr>
        <w:t xml:space="preserve"> </w:t>
      </w:r>
    </w:p>
    <w:p w:rsidR="00461DC8" w:rsidRPr="00461DC8" w:rsidRDefault="00461DC8" w:rsidP="00461DC8">
      <w:pPr>
        <w:spacing w:after="0"/>
        <w:jc w:val="center"/>
        <w:rPr>
          <w:b/>
          <w:sz w:val="24"/>
          <w:szCs w:val="24"/>
        </w:rPr>
      </w:pPr>
      <w:r>
        <w:rPr>
          <w:b/>
          <w:sz w:val="24"/>
          <w:szCs w:val="24"/>
        </w:rPr>
        <w:br/>
      </w:r>
    </w:p>
    <w:p w:rsidR="00CD6492" w:rsidRPr="00AD36B3" w:rsidRDefault="0085554C" w:rsidP="00CD6492">
      <w:r w:rsidRPr="00AD36B3">
        <w:t xml:space="preserve">As a way to respond to CSWE’s Commission on Research’s (COR) official charge “to provide leadership in establishing key research priorities” for improving social work education, </w:t>
      </w:r>
      <w:r w:rsidR="00700795" w:rsidRPr="00AD36B3">
        <w:t xml:space="preserve">we crafted eight possible research priorities based on the mission of </w:t>
      </w:r>
      <w:r w:rsidR="00D1071E" w:rsidRPr="00AD36B3">
        <w:t>CSWE</w:t>
      </w:r>
      <w:r w:rsidR="00700795" w:rsidRPr="00AD36B3">
        <w:t xml:space="preserve">, a scan of its major activities and initiatives, </w:t>
      </w:r>
      <w:r w:rsidR="00E777C2" w:rsidRPr="00AD36B3">
        <w:t xml:space="preserve">and </w:t>
      </w:r>
      <w:r w:rsidR="00700795" w:rsidRPr="00AD36B3">
        <w:t xml:space="preserve">a review of the current environmental context of social work education.   We conducted a formal survey of all Commission and Council members in the summer of 2014 to elicit </w:t>
      </w:r>
      <w:r w:rsidR="00742C73" w:rsidRPr="00AD36B3">
        <w:t xml:space="preserve">their </w:t>
      </w:r>
      <w:r w:rsidR="00700795" w:rsidRPr="00AD36B3">
        <w:t>o</w:t>
      </w:r>
      <w:r w:rsidR="00742C73" w:rsidRPr="00AD36B3">
        <w:t>w</w:t>
      </w:r>
      <w:r w:rsidR="00700795" w:rsidRPr="00AD36B3">
        <w:t xml:space="preserve">n importance ratings of the priorities and to invite comment.  </w:t>
      </w:r>
      <w:r w:rsidR="00742C73" w:rsidRPr="00AD36B3">
        <w:t xml:space="preserve"> </w:t>
      </w:r>
      <w:r w:rsidR="003C601E" w:rsidRPr="00AD36B3">
        <w:t>Participants</w:t>
      </w:r>
      <w:r w:rsidR="00742C73" w:rsidRPr="00AD36B3">
        <w:t xml:space="preserve"> loudly affirmed the </w:t>
      </w:r>
      <w:r w:rsidR="00D1071E" w:rsidRPr="00AD36B3">
        <w:t xml:space="preserve">draft </w:t>
      </w:r>
      <w:r w:rsidR="00742C73" w:rsidRPr="00AD36B3">
        <w:t xml:space="preserve">priorities.   In fact, over three quarters </w:t>
      </w:r>
      <w:r w:rsidR="00E777C2" w:rsidRPr="00AD36B3">
        <w:t xml:space="preserve">of respondents (N=93) </w:t>
      </w:r>
      <w:r w:rsidR="00742C73" w:rsidRPr="00AD36B3">
        <w:t>rated every priority as extremely or very im</w:t>
      </w:r>
      <w:r w:rsidR="00E777C2" w:rsidRPr="00AD36B3">
        <w:t xml:space="preserve">portant and over half </w:t>
      </w:r>
      <w:r w:rsidR="003C601E" w:rsidRPr="00AD36B3">
        <w:t xml:space="preserve">of the participants </w:t>
      </w:r>
      <w:r w:rsidR="00E777C2" w:rsidRPr="00AD36B3">
        <w:t>rated 6 of</w:t>
      </w:r>
      <w:r w:rsidR="00742C73" w:rsidRPr="00AD36B3">
        <w:t xml:space="preserve"> the </w:t>
      </w:r>
      <w:r w:rsidR="00E777C2" w:rsidRPr="00AD36B3">
        <w:t xml:space="preserve">8 </w:t>
      </w:r>
      <w:r w:rsidR="00742C73" w:rsidRPr="00AD36B3">
        <w:t>priorities</w:t>
      </w:r>
      <w:r w:rsidR="00E777C2" w:rsidRPr="00AD36B3">
        <w:t xml:space="preserve"> as </w:t>
      </w:r>
      <w:r w:rsidR="00742C73" w:rsidRPr="00AD36B3">
        <w:t xml:space="preserve">“extremely important.”  </w:t>
      </w:r>
      <w:r w:rsidR="00700795" w:rsidRPr="00AD36B3">
        <w:t xml:space="preserve"> At the APM in Denver we sponsored a “Connect” session </w:t>
      </w:r>
      <w:r w:rsidR="00E777C2" w:rsidRPr="00AD36B3">
        <w:t xml:space="preserve">for the larger membership community </w:t>
      </w:r>
      <w:r w:rsidR="00700795" w:rsidRPr="00AD36B3">
        <w:t xml:space="preserve">to invite </w:t>
      </w:r>
      <w:r w:rsidRPr="00AD36B3">
        <w:t xml:space="preserve">dialogue </w:t>
      </w:r>
      <w:r w:rsidR="00E777C2" w:rsidRPr="00AD36B3">
        <w:t>the</w:t>
      </w:r>
      <w:r w:rsidR="00742C73" w:rsidRPr="00AD36B3">
        <w:t xml:space="preserve"> draft research priorities</w:t>
      </w:r>
      <w:r w:rsidR="00E777C2" w:rsidRPr="00AD36B3">
        <w:t>.  T</w:t>
      </w:r>
      <w:r w:rsidR="00742C73" w:rsidRPr="00AD36B3">
        <w:t xml:space="preserve">his </w:t>
      </w:r>
      <w:r w:rsidR="00E777C2" w:rsidRPr="00AD36B3">
        <w:t xml:space="preserve">too </w:t>
      </w:r>
      <w:r w:rsidR="00742C73" w:rsidRPr="00AD36B3">
        <w:t>was affirming of the effort to move the organization toward a</w:t>
      </w:r>
      <w:r w:rsidR="00E777C2" w:rsidRPr="00AD36B3">
        <w:t>n</w:t>
      </w:r>
      <w:r w:rsidR="00742C73" w:rsidRPr="00AD36B3">
        <w:t xml:space="preserve"> even stronger research </w:t>
      </w:r>
      <w:r w:rsidR="00E777C2" w:rsidRPr="00AD36B3">
        <w:t>presence in the field</w:t>
      </w:r>
      <w:r w:rsidR="00742C73" w:rsidRPr="00AD36B3">
        <w:t xml:space="preserve">.  </w:t>
      </w:r>
      <w:r w:rsidR="00D1071E" w:rsidRPr="00AD36B3">
        <w:t xml:space="preserve"> The desire to enrich the interface of research and social work education in particular and to be transparent and above-board about those priorities echoes the r</w:t>
      </w:r>
      <w:r w:rsidR="00742C73" w:rsidRPr="00AD36B3">
        <w:t xml:space="preserve">ecent calls for developing a “science of social </w:t>
      </w:r>
      <w:r w:rsidR="00E777C2" w:rsidRPr="00AD36B3">
        <w:t>work</w:t>
      </w:r>
      <w:r w:rsidR="00742C73" w:rsidRPr="00AD36B3">
        <w:t xml:space="preserve">” and </w:t>
      </w:r>
      <w:r w:rsidR="00D1071E" w:rsidRPr="00AD36B3">
        <w:t>for</w:t>
      </w:r>
      <w:r w:rsidR="00742C73" w:rsidRPr="00AD36B3">
        <w:t xml:space="preserve"> us</w:t>
      </w:r>
      <w:r w:rsidR="00D1071E" w:rsidRPr="00AD36B3">
        <w:t>ing</w:t>
      </w:r>
      <w:r w:rsidR="00742C73" w:rsidRPr="00AD36B3">
        <w:t xml:space="preserve"> research to meet </w:t>
      </w:r>
      <w:r w:rsidR="00D1071E" w:rsidRPr="00AD36B3">
        <w:t xml:space="preserve">the </w:t>
      </w:r>
      <w:r w:rsidR="00742C73" w:rsidRPr="00AD36B3">
        <w:t xml:space="preserve">Grand Challenges facing our </w:t>
      </w:r>
      <w:r w:rsidR="00D1071E" w:rsidRPr="00AD36B3">
        <w:t xml:space="preserve">society.  </w:t>
      </w:r>
      <w:r w:rsidR="00742C73" w:rsidRPr="00AD36B3">
        <w:t xml:space="preserve"> This</w:t>
      </w:r>
      <w:r w:rsidR="00D1071E" w:rsidRPr="00AD36B3">
        <w:t xml:space="preserve"> COR</w:t>
      </w:r>
      <w:r w:rsidR="00700795" w:rsidRPr="00AD36B3">
        <w:t xml:space="preserve"> </w:t>
      </w:r>
      <w:r w:rsidR="00E777C2" w:rsidRPr="00AD36B3">
        <w:t xml:space="preserve">initiative </w:t>
      </w:r>
      <w:r w:rsidR="00742C73" w:rsidRPr="00AD36B3">
        <w:t xml:space="preserve">to </w:t>
      </w:r>
      <w:r w:rsidR="00D1071E" w:rsidRPr="00AD36B3">
        <w:t xml:space="preserve">recommend research priorities </w:t>
      </w:r>
      <w:r w:rsidR="00700795" w:rsidRPr="00AD36B3">
        <w:t xml:space="preserve">may serve </w:t>
      </w:r>
      <w:r w:rsidR="00BA3DF4" w:rsidRPr="00AD36B3">
        <w:t>to clarify what is important to</w:t>
      </w:r>
      <w:r w:rsidR="00D1071E" w:rsidRPr="00AD36B3">
        <w:t xml:space="preserve"> CSWE as an o</w:t>
      </w:r>
      <w:r w:rsidR="00BA3DF4" w:rsidRPr="00AD36B3">
        <w:t>rganization at this time</w:t>
      </w:r>
      <w:r w:rsidR="00E777C2" w:rsidRPr="00AD36B3">
        <w:t xml:space="preserve"> in its history</w:t>
      </w:r>
      <w:r w:rsidR="00D1071E" w:rsidRPr="00AD36B3">
        <w:t xml:space="preserve"> as it again begins a strategic planning process.  I</w:t>
      </w:r>
      <w:r w:rsidR="00BA3DF4" w:rsidRPr="00AD36B3">
        <w:t xml:space="preserve">n that way, </w:t>
      </w:r>
      <w:r w:rsidR="00D1071E" w:rsidRPr="00AD36B3">
        <w:t xml:space="preserve">these priorities </w:t>
      </w:r>
      <w:r w:rsidR="00E777C2" w:rsidRPr="00AD36B3">
        <w:t xml:space="preserve">can </w:t>
      </w:r>
      <w:r w:rsidR="00BA3DF4" w:rsidRPr="00AD36B3">
        <w:t xml:space="preserve">affirm, </w:t>
      </w:r>
      <w:r w:rsidR="00700795" w:rsidRPr="00AD36B3">
        <w:t>support and direct decision-making of the</w:t>
      </w:r>
      <w:r w:rsidR="00E777C2" w:rsidRPr="00AD36B3">
        <w:t xml:space="preserve"> staff and volunteer</w:t>
      </w:r>
      <w:r w:rsidR="00700795" w:rsidRPr="00AD36B3">
        <w:t xml:space="preserve"> leaders </w:t>
      </w:r>
      <w:r w:rsidR="00BA3DF4" w:rsidRPr="00AD36B3">
        <w:t xml:space="preserve">as they consider </w:t>
      </w:r>
      <w:r w:rsidR="00E777C2" w:rsidRPr="00AD36B3">
        <w:t xml:space="preserve">what goals and initiatives to pursue and </w:t>
      </w:r>
      <w:r w:rsidR="00BA3DF4" w:rsidRPr="00AD36B3">
        <w:t xml:space="preserve">how to allocate resources and </w:t>
      </w:r>
      <w:r w:rsidR="00E777C2" w:rsidRPr="00AD36B3">
        <w:t>energy</w:t>
      </w:r>
      <w:r w:rsidR="00700795" w:rsidRPr="00AD36B3">
        <w:t xml:space="preserve">. </w:t>
      </w:r>
      <w:r w:rsidR="00FA109B" w:rsidRPr="00AD36B3">
        <w:t xml:space="preserve"> </w:t>
      </w:r>
      <w:r w:rsidR="00D1071E" w:rsidRPr="00AD36B3">
        <w:t xml:space="preserve"> </w:t>
      </w:r>
      <w:r w:rsidR="00E777C2" w:rsidRPr="00AD36B3">
        <w:t>Different arms of the organization</w:t>
      </w:r>
      <w:r w:rsidR="003C601E" w:rsidRPr="00AD36B3">
        <w:t xml:space="preserve">- Commissions and Councils, as well as the </w:t>
      </w:r>
      <w:r w:rsidR="00D1071E" w:rsidRPr="00AD36B3">
        <w:t>central administration</w:t>
      </w:r>
      <w:r w:rsidR="003C601E" w:rsidRPr="00AD36B3">
        <w:t>-</w:t>
      </w:r>
      <w:r w:rsidR="00E777C2" w:rsidRPr="00AD36B3">
        <w:t xml:space="preserve"> are likely to be validated to see how their own efforts fit with the priorities and are already helping move the organization forward in terms of its </w:t>
      </w:r>
      <w:r w:rsidR="003C601E" w:rsidRPr="00AD36B3">
        <w:t xml:space="preserve">organization’s research mission and scientific agenda.  </w:t>
      </w:r>
      <w:r w:rsidR="00852F07" w:rsidRPr="00AD36B3">
        <w:t xml:space="preserve"> The COR, as part of its charge, </w:t>
      </w:r>
      <w:r w:rsidR="00D1071E" w:rsidRPr="00AD36B3">
        <w:t>pledges to</w:t>
      </w:r>
      <w:r w:rsidR="00852F07" w:rsidRPr="00AD36B3">
        <w:t xml:space="preserve"> help </w:t>
      </w:r>
      <w:r w:rsidR="00A54D41" w:rsidRPr="00AD36B3">
        <w:t xml:space="preserve">CSWE grapple with the questions and action implications associated with these priorities, </w:t>
      </w:r>
      <w:r w:rsidR="00852F07" w:rsidRPr="00AD36B3">
        <w:t xml:space="preserve">catalog </w:t>
      </w:r>
      <w:r w:rsidR="00EC38E7" w:rsidRPr="00AD36B3">
        <w:t xml:space="preserve">CSWE’s (and other organizations) </w:t>
      </w:r>
      <w:r w:rsidR="00852F07" w:rsidRPr="00AD36B3">
        <w:t xml:space="preserve">efforts that give voice to </w:t>
      </w:r>
      <w:r w:rsidR="00A54D41" w:rsidRPr="00AD36B3">
        <w:t xml:space="preserve">them, </w:t>
      </w:r>
      <w:r w:rsidR="00852F07" w:rsidRPr="00AD36B3">
        <w:t xml:space="preserve">and </w:t>
      </w:r>
      <w:r w:rsidR="00EC38E7" w:rsidRPr="00AD36B3">
        <w:t xml:space="preserve">to </w:t>
      </w:r>
      <w:r w:rsidR="00852F07" w:rsidRPr="00AD36B3">
        <w:t>periodically update the</w:t>
      </w:r>
      <w:r w:rsidR="00EC38E7" w:rsidRPr="00AD36B3">
        <w:t xml:space="preserve"> priorities</w:t>
      </w:r>
      <w:r w:rsidR="00852F07" w:rsidRPr="00AD36B3">
        <w:t xml:space="preserve">. </w:t>
      </w:r>
      <w:r w:rsidR="00CD6492" w:rsidRPr="00AD36B3">
        <w:rPr>
          <w:rFonts w:ascii="Arial" w:hAnsi="Arial" w:cs="Arial"/>
          <w:color w:val="44546A" w:themeColor="text2"/>
          <w:sz w:val="24"/>
          <w:szCs w:val="24"/>
        </w:rPr>
        <w:br w:type="page"/>
      </w:r>
    </w:p>
    <w:p w:rsidR="00CD6492" w:rsidRDefault="00CD6492" w:rsidP="00BA3DF4">
      <w:pPr>
        <w:spacing w:after="0" w:line="240" w:lineRule="auto"/>
        <w:rPr>
          <w:rFonts w:ascii="Arial" w:hAnsi="Arial" w:cs="Arial"/>
          <w:color w:val="44546A" w:themeColor="text2"/>
          <w:sz w:val="24"/>
          <w:szCs w:val="24"/>
        </w:rPr>
        <w:sectPr w:rsidR="00CD6492">
          <w:pgSz w:w="12240" w:h="15840"/>
          <w:pgMar w:top="1440" w:right="1440" w:bottom="1440" w:left="1440" w:header="720" w:footer="720" w:gutter="0"/>
          <w:cols w:space="720"/>
          <w:docGrid w:linePitch="360"/>
        </w:sectPr>
      </w:pPr>
    </w:p>
    <w:p w:rsidR="00A83D05" w:rsidRPr="00DE1098" w:rsidRDefault="00CD6492" w:rsidP="00BA3DF4">
      <w:pPr>
        <w:spacing w:after="0" w:line="240" w:lineRule="auto"/>
        <w:rPr>
          <w:rFonts w:ascii="Arial" w:hAnsi="Arial" w:cs="Arial"/>
          <w:b/>
          <w:sz w:val="18"/>
          <w:szCs w:val="18"/>
        </w:rPr>
      </w:pPr>
      <w:bookmarkStart w:id="0" w:name="_GoBack"/>
      <w:bookmarkEnd w:id="0"/>
      <w:r>
        <w:rPr>
          <w:rFonts w:ascii="Arial" w:hAnsi="Arial" w:cs="Arial"/>
          <w:color w:val="44546A" w:themeColor="text2"/>
          <w:sz w:val="24"/>
          <w:szCs w:val="24"/>
        </w:rPr>
        <w:lastRenderedPageBreak/>
        <w:br/>
      </w:r>
      <w:r>
        <w:rPr>
          <w:rFonts w:ascii="Arial" w:hAnsi="Arial" w:cs="Arial"/>
          <w:color w:val="44546A" w:themeColor="text2"/>
          <w:sz w:val="24"/>
          <w:szCs w:val="24"/>
        </w:rPr>
        <w:br/>
      </w:r>
    </w:p>
    <w:tbl>
      <w:tblPr>
        <w:tblpPr w:leftFromText="180" w:rightFromText="180" w:vertAnchor="text" w:horzAnchor="margin" w:tblpXSpec="center" w:tblpY="113"/>
        <w:tblW w:w="0" w:type="auto"/>
        <w:tblLook w:val="04A0" w:firstRow="1" w:lastRow="0" w:firstColumn="1" w:lastColumn="0" w:noHBand="0" w:noVBand="1"/>
      </w:tblPr>
      <w:tblGrid>
        <w:gridCol w:w="11785"/>
      </w:tblGrid>
      <w:tr w:rsidR="00AD36B3" w:rsidRPr="00DE1098" w:rsidTr="00AD36B3">
        <w:trPr>
          <w:trHeight w:val="260"/>
        </w:trPr>
        <w:tc>
          <w:tcPr>
            <w:tcW w:w="1178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AD36B3" w:rsidRPr="00AD36B3" w:rsidRDefault="00AD36B3" w:rsidP="005B4464">
            <w:pPr>
              <w:jc w:val="center"/>
              <w:rPr>
                <w:rFonts w:ascii="Arial" w:hAnsi="Arial" w:cs="Arial"/>
                <w:b/>
              </w:rPr>
            </w:pPr>
            <w:r w:rsidRPr="00AD36B3">
              <w:rPr>
                <w:rFonts w:ascii="Arial" w:hAnsi="Arial" w:cs="Arial"/>
                <w:b/>
              </w:rPr>
              <w:t>Research Priority</w:t>
            </w:r>
          </w:p>
        </w:tc>
      </w:tr>
      <w:tr w:rsidR="00AD36B3" w:rsidRPr="00DE1098" w:rsidTr="00AD36B3">
        <w:trPr>
          <w:trHeight w:val="315"/>
        </w:trPr>
        <w:tc>
          <w:tcPr>
            <w:tcW w:w="11785"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AD36B3" w:rsidRPr="00AD36B3" w:rsidRDefault="00AD36B3" w:rsidP="00FC3496">
            <w:pPr>
              <w:pStyle w:val="ListParagraph"/>
              <w:numPr>
                <w:ilvl w:val="0"/>
                <w:numId w:val="4"/>
              </w:numPr>
              <w:rPr>
                <w:rFonts w:ascii="Arial" w:hAnsi="Arial" w:cs="Arial"/>
                <w:iCs/>
              </w:rPr>
            </w:pPr>
            <w:r w:rsidRPr="00AD36B3">
              <w:rPr>
                <w:rFonts w:ascii="Arial" w:hAnsi="Arial" w:cs="Arial"/>
                <w:iCs/>
              </w:rPr>
              <w:t>Supporting the investigation of “best practices” in assessing and teaching competencies (knowledge, values, skills) in learner-centered environments across the curriculum</w:t>
            </w:r>
          </w:p>
        </w:tc>
      </w:tr>
      <w:tr w:rsidR="00AD36B3" w:rsidRPr="00DE1098" w:rsidTr="00AD36B3">
        <w:trPr>
          <w:trHeight w:val="315"/>
        </w:trPr>
        <w:tc>
          <w:tcPr>
            <w:tcW w:w="11785"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AD36B3" w:rsidRPr="00AD36B3" w:rsidRDefault="00AD36B3" w:rsidP="00FC3496">
            <w:pPr>
              <w:pStyle w:val="ListParagraph"/>
              <w:numPr>
                <w:ilvl w:val="0"/>
                <w:numId w:val="4"/>
              </w:numPr>
              <w:rPr>
                <w:rFonts w:ascii="Arial" w:hAnsi="Arial" w:cs="Arial"/>
                <w:iCs/>
              </w:rPr>
            </w:pPr>
            <w:r w:rsidRPr="00AD36B3">
              <w:rPr>
                <w:rFonts w:ascii="Arial" w:hAnsi="Arial" w:cs="Arial"/>
                <w:iCs/>
              </w:rPr>
              <w:t>Continuing to refine and expand the collection, analysis, and dissemination of relevant data on important characteristics of BSW, MSW, and doctoral programs, applicants, students, graduates, and faculty in social work in the United States</w:t>
            </w:r>
          </w:p>
        </w:tc>
      </w:tr>
      <w:tr w:rsidR="00AD36B3" w:rsidRPr="00DE1098" w:rsidTr="00AD36B3">
        <w:trPr>
          <w:trHeight w:val="315"/>
        </w:trPr>
        <w:tc>
          <w:tcPr>
            <w:tcW w:w="11785"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AD36B3" w:rsidRPr="00AD36B3" w:rsidRDefault="00AD36B3" w:rsidP="00FC3496">
            <w:pPr>
              <w:pStyle w:val="ListParagraph"/>
              <w:numPr>
                <w:ilvl w:val="0"/>
                <w:numId w:val="4"/>
              </w:numPr>
              <w:rPr>
                <w:rFonts w:ascii="Arial" w:hAnsi="Arial" w:cs="Arial"/>
                <w:iCs/>
              </w:rPr>
            </w:pPr>
            <w:r w:rsidRPr="00AD36B3">
              <w:rPr>
                <w:rFonts w:ascii="Arial" w:hAnsi="Arial" w:cs="Arial"/>
                <w:iCs/>
              </w:rPr>
              <w:t>Identifying instructional innovations and new models of successful interprofessional education with relevance for 21</w:t>
            </w:r>
            <w:r w:rsidRPr="00AD36B3">
              <w:rPr>
                <w:rFonts w:ascii="Arial" w:hAnsi="Arial" w:cs="Arial"/>
                <w:iCs/>
                <w:vertAlign w:val="superscript"/>
              </w:rPr>
              <w:t>st</w:t>
            </w:r>
            <w:r w:rsidRPr="00AD36B3">
              <w:rPr>
                <w:rFonts w:ascii="Arial" w:hAnsi="Arial" w:cs="Arial"/>
                <w:iCs/>
              </w:rPr>
              <w:t xml:space="preserve"> century social work practice.</w:t>
            </w:r>
          </w:p>
        </w:tc>
      </w:tr>
      <w:tr w:rsidR="00AD36B3" w:rsidRPr="00DE1098" w:rsidTr="00AD36B3">
        <w:trPr>
          <w:trHeight w:val="315"/>
        </w:trPr>
        <w:tc>
          <w:tcPr>
            <w:tcW w:w="11785"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AD36B3" w:rsidRPr="00AD36B3" w:rsidRDefault="00AD36B3" w:rsidP="00FC3496">
            <w:pPr>
              <w:pStyle w:val="ListParagraph"/>
              <w:numPr>
                <w:ilvl w:val="0"/>
                <w:numId w:val="4"/>
              </w:numPr>
              <w:rPr>
                <w:rFonts w:ascii="Arial" w:hAnsi="Arial" w:cs="Arial"/>
                <w:iCs/>
              </w:rPr>
            </w:pPr>
            <w:r w:rsidRPr="00AD36B3">
              <w:rPr>
                <w:rFonts w:ascii="Arial" w:hAnsi="Arial" w:cs="Arial"/>
                <w:iCs/>
              </w:rPr>
              <w:t>Supporting inquiry around the outcomes of online and hybrid education and the consistency on online programs with accepted standards of “quality” in online learning</w:t>
            </w:r>
          </w:p>
        </w:tc>
      </w:tr>
      <w:tr w:rsidR="00AD36B3" w:rsidRPr="00DE1098" w:rsidTr="00AD36B3">
        <w:trPr>
          <w:trHeight w:val="315"/>
        </w:trPr>
        <w:tc>
          <w:tcPr>
            <w:tcW w:w="11785"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AD36B3" w:rsidRPr="00AD36B3" w:rsidRDefault="00AD36B3" w:rsidP="00FC3496">
            <w:pPr>
              <w:pStyle w:val="ListParagraph"/>
              <w:numPr>
                <w:ilvl w:val="0"/>
                <w:numId w:val="4"/>
              </w:numPr>
              <w:rPr>
                <w:rFonts w:ascii="Arial" w:hAnsi="Arial" w:cs="Arial"/>
                <w:iCs/>
              </w:rPr>
            </w:pPr>
            <w:r w:rsidRPr="00AD36B3">
              <w:rPr>
                <w:rFonts w:ascii="Arial" w:hAnsi="Arial" w:cs="Arial"/>
                <w:iCs/>
              </w:rPr>
              <w:t>Supporting scientific inquiry into the empirical base of major aspects of curriculum policies and accreditation priorities</w:t>
            </w:r>
          </w:p>
        </w:tc>
      </w:tr>
      <w:tr w:rsidR="00AD36B3" w:rsidRPr="00DE1098" w:rsidTr="00AD36B3">
        <w:trPr>
          <w:trHeight w:val="315"/>
        </w:trPr>
        <w:tc>
          <w:tcPr>
            <w:tcW w:w="11785"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AD36B3" w:rsidRPr="00AD36B3" w:rsidRDefault="00AD36B3" w:rsidP="00CD6492">
            <w:pPr>
              <w:pStyle w:val="ListParagraph"/>
              <w:numPr>
                <w:ilvl w:val="0"/>
                <w:numId w:val="4"/>
              </w:numPr>
              <w:rPr>
                <w:rFonts w:ascii="Arial" w:hAnsi="Arial" w:cs="Arial"/>
                <w:iCs/>
              </w:rPr>
            </w:pPr>
            <w:r w:rsidRPr="00AD36B3">
              <w:rPr>
                <w:rFonts w:ascii="Arial" w:hAnsi="Arial" w:cs="Arial"/>
                <w:iCs/>
              </w:rPr>
              <w:t>Assessing the impact of social work education and research related to advancement of human rights, social justice, and the diminution of disparities in health, mental health, and human services</w:t>
            </w:r>
          </w:p>
        </w:tc>
      </w:tr>
      <w:tr w:rsidR="00AD36B3" w:rsidRPr="00DE1098" w:rsidTr="00AD36B3">
        <w:trPr>
          <w:trHeight w:val="315"/>
        </w:trPr>
        <w:tc>
          <w:tcPr>
            <w:tcW w:w="11785"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AD36B3" w:rsidRPr="00AD36B3" w:rsidRDefault="00AD36B3" w:rsidP="00FC3496">
            <w:pPr>
              <w:pStyle w:val="ListParagraph"/>
              <w:numPr>
                <w:ilvl w:val="0"/>
                <w:numId w:val="4"/>
              </w:numPr>
              <w:rPr>
                <w:rFonts w:ascii="Arial" w:hAnsi="Arial" w:cs="Arial"/>
                <w:iCs/>
              </w:rPr>
            </w:pPr>
            <w:r w:rsidRPr="00AD36B3">
              <w:rPr>
                <w:rFonts w:ascii="Arial" w:hAnsi="Arial" w:cs="Arial"/>
                <w:iCs/>
              </w:rPr>
              <w:t>Supporting the identification of “best practices” in research instruction, scientific inquiry, the critical evaluation of methods and analysis, and effective/judicious/thoughtful use of research findings in practice</w:t>
            </w:r>
          </w:p>
        </w:tc>
      </w:tr>
      <w:tr w:rsidR="00AD36B3" w:rsidRPr="00DE1098" w:rsidTr="00AD36B3">
        <w:trPr>
          <w:trHeight w:val="315"/>
        </w:trPr>
        <w:tc>
          <w:tcPr>
            <w:tcW w:w="11785"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AD36B3" w:rsidRPr="00AD36B3" w:rsidRDefault="00AD36B3" w:rsidP="00FC3496">
            <w:pPr>
              <w:pStyle w:val="ListParagraph"/>
              <w:numPr>
                <w:ilvl w:val="0"/>
                <w:numId w:val="4"/>
              </w:numPr>
              <w:rPr>
                <w:rFonts w:ascii="Arial" w:hAnsi="Arial" w:cs="Arial"/>
                <w:iCs/>
              </w:rPr>
            </w:pPr>
            <w:r w:rsidRPr="00AD36B3">
              <w:rPr>
                <w:rFonts w:ascii="Arial" w:hAnsi="Arial" w:cs="Arial"/>
                <w:iCs/>
              </w:rPr>
              <w:t>Supporting inquiry around the correspondence and congruence between the current and emerging roles and activities of practicing social workers and current and anticipated curriculum content</w:t>
            </w:r>
          </w:p>
        </w:tc>
      </w:tr>
    </w:tbl>
    <w:p w:rsidR="00566D3F" w:rsidRPr="00A83D05" w:rsidRDefault="00566D3F" w:rsidP="00A83D05">
      <w:pPr>
        <w:rPr>
          <w:rFonts w:ascii="Arial" w:hAnsi="Arial" w:cs="Arial"/>
          <w:sz w:val="20"/>
          <w:szCs w:val="20"/>
        </w:rPr>
      </w:pPr>
    </w:p>
    <w:sectPr w:rsidR="00566D3F" w:rsidRPr="00A83D05" w:rsidSect="00CD649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B21" w:rsidRDefault="00F31B21" w:rsidP="00E777C2">
      <w:pPr>
        <w:spacing w:after="0" w:line="240" w:lineRule="auto"/>
      </w:pPr>
      <w:r>
        <w:separator/>
      </w:r>
    </w:p>
  </w:endnote>
  <w:endnote w:type="continuationSeparator" w:id="0">
    <w:p w:rsidR="00F31B21" w:rsidRDefault="00F31B21" w:rsidP="00E77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B21" w:rsidRDefault="00F31B21" w:rsidP="00E777C2">
      <w:pPr>
        <w:spacing w:after="0" w:line="240" w:lineRule="auto"/>
      </w:pPr>
      <w:r>
        <w:separator/>
      </w:r>
    </w:p>
  </w:footnote>
  <w:footnote w:type="continuationSeparator" w:id="0">
    <w:p w:rsidR="00F31B21" w:rsidRDefault="00F31B21" w:rsidP="00E77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05613"/>
    <w:multiLevelType w:val="hybridMultilevel"/>
    <w:tmpl w:val="CA84A9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A158F"/>
    <w:multiLevelType w:val="hybridMultilevel"/>
    <w:tmpl w:val="EA509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F7C59"/>
    <w:multiLevelType w:val="hybridMultilevel"/>
    <w:tmpl w:val="4EDCB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4206B1"/>
    <w:multiLevelType w:val="multilevel"/>
    <w:tmpl w:val="D358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4C"/>
    <w:rsid w:val="000B5E09"/>
    <w:rsid w:val="000F3684"/>
    <w:rsid w:val="000F5ED1"/>
    <w:rsid w:val="00114BAE"/>
    <w:rsid w:val="001563DE"/>
    <w:rsid w:val="001C462C"/>
    <w:rsid w:val="001E0E2B"/>
    <w:rsid w:val="003C601E"/>
    <w:rsid w:val="003D6F68"/>
    <w:rsid w:val="0041466E"/>
    <w:rsid w:val="00425D30"/>
    <w:rsid w:val="00435CEB"/>
    <w:rsid w:val="00461DC8"/>
    <w:rsid w:val="004A3AA2"/>
    <w:rsid w:val="00521717"/>
    <w:rsid w:val="00545F98"/>
    <w:rsid w:val="005539EE"/>
    <w:rsid w:val="00566D3F"/>
    <w:rsid w:val="005C26F0"/>
    <w:rsid w:val="005D0F32"/>
    <w:rsid w:val="00611204"/>
    <w:rsid w:val="0066363E"/>
    <w:rsid w:val="00690290"/>
    <w:rsid w:val="00700795"/>
    <w:rsid w:val="00742C73"/>
    <w:rsid w:val="00756604"/>
    <w:rsid w:val="00825203"/>
    <w:rsid w:val="00852F07"/>
    <w:rsid w:val="0085554C"/>
    <w:rsid w:val="009B014B"/>
    <w:rsid w:val="00A16903"/>
    <w:rsid w:val="00A54D41"/>
    <w:rsid w:val="00A83D05"/>
    <w:rsid w:val="00A83D1E"/>
    <w:rsid w:val="00A955D3"/>
    <w:rsid w:val="00AB732C"/>
    <w:rsid w:val="00AD36B3"/>
    <w:rsid w:val="00B23703"/>
    <w:rsid w:val="00BA3DF4"/>
    <w:rsid w:val="00CB3923"/>
    <w:rsid w:val="00CD6492"/>
    <w:rsid w:val="00CD6C6F"/>
    <w:rsid w:val="00D1071E"/>
    <w:rsid w:val="00D36741"/>
    <w:rsid w:val="00DE1098"/>
    <w:rsid w:val="00E11A7A"/>
    <w:rsid w:val="00E2379E"/>
    <w:rsid w:val="00E777C2"/>
    <w:rsid w:val="00EA3B93"/>
    <w:rsid w:val="00EC38E7"/>
    <w:rsid w:val="00EF5FB9"/>
    <w:rsid w:val="00F123E3"/>
    <w:rsid w:val="00F31B21"/>
    <w:rsid w:val="00F7090B"/>
    <w:rsid w:val="00FA109B"/>
    <w:rsid w:val="00FC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20F81"/>
  <w15:chartTrackingRefBased/>
  <w15:docId w15:val="{42804F90-1CF2-4977-9B4A-2603FA8F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5554C"/>
    <w:pPr>
      <w:spacing w:after="200" w:line="276" w:lineRule="auto"/>
    </w:pPr>
  </w:style>
  <w:style w:type="paragraph" w:styleId="Heading2">
    <w:name w:val="heading 2"/>
    <w:basedOn w:val="Normal"/>
    <w:next w:val="Normal"/>
    <w:link w:val="Heading2Char"/>
    <w:uiPriority w:val="9"/>
    <w:unhideWhenUsed/>
    <w:qFormat/>
    <w:rsid w:val="00A83D05"/>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54C"/>
    <w:pPr>
      <w:ind w:left="720"/>
      <w:contextualSpacing/>
    </w:pPr>
  </w:style>
  <w:style w:type="character" w:styleId="Hyperlink">
    <w:name w:val="Hyperlink"/>
    <w:basedOn w:val="DefaultParagraphFont"/>
    <w:uiPriority w:val="99"/>
    <w:semiHidden/>
    <w:unhideWhenUsed/>
    <w:rsid w:val="00E11A7A"/>
    <w:rPr>
      <w:strike w:val="0"/>
      <w:dstrike w:val="0"/>
      <w:color w:val="6B931D"/>
      <w:u w:val="none"/>
      <w:effect w:val="none"/>
    </w:rPr>
  </w:style>
  <w:style w:type="character" w:customStyle="1" w:styleId="Heading2Char">
    <w:name w:val="Heading 2 Char"/>
    <w:basedOn w:val="DefaultParagraphFont"/>
    <w:link w:val="Heading2"/>
    <w:uiPriority w:val="9"/>
    <w:rsid w:val="00A83D05"/>
    <w:rPr>
      <w:rFonts w:asciiTheme="majorHAnsi" w:eastAsiaTheme="majorEastAsia" w:hAnsiTheme="majorHAnsi" w:cstheme="majorBidi"/>
      <w:b/>
      <w:bCs/>
      <w:color w:val="5B9BD5" w:themeColor="accent1"/>
      <w:sz w:val="26"/>
      <w:szCs w:val="26"/>
    </w:rPr>
  </w:style>
  <w:style w:type="paragraph" w:styleId="BalloonText">
    <w:name w:val="Balloon Text"/>
    <w:basedOn w:val="Normal"/>
    <w:link w:val="BalloonTextChar"/>
    <w:uiPriority w:val="99"/>
    <w:semiHidden/>
    <w:unhideWhenUsed/>
    <w:rsid w:val="00825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203"/>
    <w:rPr>
      <w:rFonts w:ascii="Segoe UI" w:hAnsi="Segoe UI" w:cs="Segoe UI"/>
      <w:sz w:val="18"/>
      <w:szCs w:val="18"/>
    </w:rPr>
  </w:style>
  <w:style w:type="paragraph" w:styleId="Header">
    <w:name w:val="header"/>
    <w:basedOn w:val="Normal"/>
    <w:link w:val="HeaderChar"/>
    <w:uiPriority w:val="99"/>
    <w:unhideWhenUsed/>
    <w:rsid w:val="00E77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7C2"/>
  </w:style>
  <w:style w:type="paragraph" w:styleId="Footer">
    <w:name w:val="footer"/>
    <w:basedOn w:val="Normal"/>
    <w:link w:val="FooterChar"/>
    <w:uiPriority w:val="99"/>
    <w:unhideWhenUsed/>
    <w:rsid w:val="00E77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22876">
      <w:bodyDiv w:val="1"/>
      <w:marLeft w:val="0"/>
      <w:marRight w:val="0"/>
      <w:marTop w:val="0"/>
      <w:marBottom w:val="0"/>
      <w:divBdr>
        <w:top w:val="none" w:sz="0" w:space="0" w:color="auto"/>
        <w:left w:val="none" w:sz="0" w:space="0" w:color="auto"/>
        <w:bottom w:val="none" w:sz="0" w:space="0" w:color="auto"/>
        <w:right w:val="none" w:sz="0" w:space="0" w:color="auto"/>
      </w:divBdr>
      <w:divsChild>
        <w:div w:id="1936548484">
          <w:marLeft w:val="0"/>
          <w:marRight w:val="0"/>
          <w:marTop w:val="0"/>
          <w:marBottom w:val="0"/>
          <w:divBdr>
            <w:top w:val="none" w:sz="0" w:space="0" w:color="auto"/>
            <w:left w:val="none" w:sz="0" w:space="0" w:color="auto"/>
            <w:bottom w:val="none" w:sz="0" w:space="0" w:color="auto"/>
            <w:right w:val="none" w:sz="0" w:space="0" w:color="auto"/>
          </w:divBdr>
          <w:divsChild>
            <w:div w:id="69617372">
              <w:marLeft w:val="0"/>
              <w:marRight w:val="0"/>
              <w:marTop w:val="0"/>
              <w:marBottom w:val="0"/>
              <w:divBdr>
                <w:top w:val="none" w:sz="0" w:space="0" w:color="auto"/>
                <w:left w:val="none" w:sz="0" w:space="0" w:color="auto"/>
                <w:bottom w:val="none" w:sz="0" w:space="0" w:color="auto"/>
                <w:right w:val="none" w:sz="0" w:space="0" w:color="auto"/>
              </w:divBdr>
              <w:divsChild>
                <w:div w:id="909854034">
                  <w:marLeft w:val="0"/>
                  <w:marRight w:val="0"/>
                  <w:marTop w:val="0"/>
                  <w:marBottom w:val="0"/>
                  <w:divBdr>
                    <w:top w:val="none" w:sz="0" w:space="0" w:color="auto"/>
                    <w:left w:val="none" w:sz="0" w:space="0" w:color="auto"/>
                    <w:bottom w:val="none" w:sz="0" w:space="0" w:color="auto"/>
                    <w:right w:val="none" w:sz="0" w:space="0" w:color="auto"/>
                  </w:divBdr>
                  <w:divsChild>
                    <w:div w:id="1727954407">
                      <w:marLeft w:val="0"/>
                      <w:marRight w:val="0"/>
                      <w:marTop w:val="0"/>
                      <w:marBottom w:val="0"/>
                      <w:divBdr>
                        <w:top w:val="none" w:sz="0" w:space="0" w:color="auto"/>
                        <w:left w:val="none" w:sz="0" w:space="0" w:color="auto"/>
                        <w:bottom w:val="none" w:sz="0" w:space="0" w:color="auto"/>
                        <w:right w:val="none" w:sz="0" w:space="0" w:color="auto"/>
                      </w:divBdr>
                      <w:divsChild>
                        <w:div w:id="1102990104">
                          <w:marLeft w:val="0"/>
                          <w:marRight w:val="0"/>
                          <w:marTop w:val="0"/>
                          <w:marBottom w:val="0"/>
                          <w:divBdr>
                            <w:top w:val="none" w:sz="0" w:space="0" w:color="auto"/>
                            <w:left w:val="none" w:sz="0" w:space="0" w:color="auto"/>
                            <w:bottom w:val="none" w:sz="0" w:space="0" w:color="auto"/>
                            <w:right w:val="none" w:sz="0" w:space="0" w:color="auto"/>
                          </w:divBdr>
                          <w:divsChild>
                            <w:div w:id="1727336798">
                              <w:marLeft w:val="300"/>
                              <w:marRight w:val="0"/>
                              <w:marTop w:val="0"/>
                              <w:marBottom w:val="0"/>
                              <w:divBdr>
                                <w:top w:val="none" w:sz="0" w:space="0" w:color="auto"/>
                                <w:left w:val="none" w:sz="0" w:space="0" w:color="auto"/>
                                <w:bottom w:val="none" w:sz="0" w:space="0" w:color="auto"/>
                                <w:right w:val="none" w:sz="0" w:space="0" w:color="auto"/>
                              </w:divBdr>
                              <w:divsChild>
                                <w:div w:id="1438938576">
                                  <w:marLeft w:val="0"/>
                                  <w:marRight w:val="0"/>
                                  <w:marTop w:val="0"/>
                                  <w:marBottom w:val="0"/>
                                  <w:divBdr>
                                    <w:top w:val="none" w:sz="0" w:space="0" w:color="auto"/>
                                    <w:left w:val="none" w:sz="0" w:space="0" w:color="auto"/>
                                    <w:bottom w:val="none" w:sz="0" w:space="0" w:color="auto"/>
                                    <w:right w:val="none" w:sz="0" w:space="0" w:color="auto"/>
                                  </w:divBdr>
                                  <w:divsChild>
                                    <w:div w:id="1961182418">
                                      <w:marLeft w:val="0"/>
                                      <w:marRight w:val="0"/>
                                      <w:marTop w:val="0"/>
                                      <w:marBottom w:val="225"/>
                                      <w:divBdr>
                                        <w:top w:val="none" w:sz="0" w:space="0" w:color="auto"/>
                                        <w:left w:val="none" w:sz="0" w:space="0" w:color="auto"/>
                                        <w:bottom w:val="none" w:sz="0" w:space="0" w:color="auto"/>
                                        <w:right w:val="none" w:sz="0" w:space="0" w:color="auto"/>
                                      </w:divBdr>
                                      <w:divsChild>
                                        <w:div w:id="21366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 J Bentley</dc:creator>
  <cp:keywords/>
  <dc:description/>
  <cp:lastModifiedBy>Jessica Holmes</cp:lastModifiedBy>
  <cp:revision>3</cp:revision>
  <cp:lastPrinted>2015-10-09T18:32:00Z</cp:lastPrinted>
  <dcterms:created xsi:type="dcterms:W3CDTF">2017-06-20T21:10:00Z</dcterms:created>
  <dcterms:modified xsi:type="dcterms:W3CDTF">2017-06-21T01:34:00Z</dcterms:modified>
</cp:coreProperties>
</file>